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0" w:type="dxa"/>
        <w:tblCellSpacing w:w="7" w:type="dxa"/>
        <w:shd w:val="clear" w:color="auto" w:fill="FFFFFF"/>
        <w:tblCellMar>
          <w:top w:w="60" w:type="dxa"/>
          <w:left w:w="60" w:type="dxa"/>
          <w:bottom w:w="60" w:type="dxa"/>
          <w:right w:w="60" w:type="dxa"/>
        </w:tblCellMar>
        <w:tblLook w:val="04A0" w:firstRow="1" w:lastRow="0" w:firstColumn="1" w:lastColumn="0" w:noHBand="0" w:noVBand="1"/>
      </w:tblPr>
      <w:tblGrid>
        <w:gridCol w:w="1744"/>
        <w:gridCol w:w="7526"/>
      </w:tblGrid>
      <w:tr w:rsidR="00915720" w:rsidRPr="00915720" w:rsidTr="00915720">
        <w:trPr>
          <w:tblCellSpacing w:w="7" w:type="dxa"/>
        </w:trPr>
        <w:tc>
          <w:tcPr>
            <w:tcW w:w="0" w:type="auto"/>
            <w:shd w:val="clear" w:color="auto" w:fill="FFFF99"/>
            <w:hideMark/>
          </w:tcPr>
          <w:p w:rsidR="00915720" w:rsidRPr="00915720" w:rsidRDefault="00915720" w:rsidP="00915720">
            <w:pPr>
              <w:spacing w:after="0" w:line="240" w:lineRule="auto"/>
              <w:rPr>
                <w:rFonts w:ascii="Arial Unicode MS" w:eastAsia="Arial Unicode MS" w:hAnsi="Arial Unicode MS" w:cs="Arial Unicode MS"/>
                <w:sz w:val="24"/>
                <w:szCs w:val="24"/>
              </w:rPr>
            </w:pPr>
            <w:r w:rsidRPr="00915720">
              <w:rPr>
                <w:rFonts w:ascii="Arial Unicode MS" w:eastAsia="Arial Unicode MS" w:hAnsi="Arial Unicode MS" w:cs="Arial Unicode MS" w:hint="eastAsia"/>
                <w:sz w:val="24"/>
                <w:szCs w:val="24"/>
              </w:rPr>
              <w:t>gender</w:t>
            </w:r>
          </w:p>
        </w:tc>
        <w:tc>
          <w:tcPr>
            <w:tcW w:w="0" w:type="auto"/>
            <w:shd w:val="clear" w:color="auto" w:fill="FFFF99"/>
            <w:hideMark/>
          </w:tcPr>
          <w:p w:rsidR="00915720" w:rsidRPr="00915720" w:rsidRDefault="00915720" w:rsidP="00915720">
            <w:pPr>
              <w:spacing w:after="0" w:line="240" w:lineRule="auto"/>
              <w:rPr>
                <w:rFonts w:ascii="Arial Unicode MS" w:eastAsia="Arial Unicode MS" w:hAnsi="Arial Unicode MS" w:cs="Arial Unicode MS" w:hint="eastAsia"/>
                <w:sz w:val="24"/>
                <w:szCs w:val="24"/>
              </w:rPr>
            </w:pPr>
            <w:r w:rsidRPr="00915720">
              <w:rPr>
                <w:rFonts w:ascii="Arial Unicode MS" w:eastAsia="Arial Unicode MS" w:hAnsi="Arial Unicode MS" w:cs="Arial Unicode MS" w:hint="eastAsia"/>
                <w:sz w:val="24"/>
                <w:szCs w:val="24"/>
              </w:rPr>
              <w:t>Social differences between men and women, rather than the anatomical, biological differences between the sexes. Notions of gender differences - that is, what is considered "feminine" or "masculine" - vary greatly over time and space.</w:t>
            </w:r>
          </w:p>
        </w:tc>
      </w:tr>
      <w:tr w:rsidR="00915720" w:rsidRPr="00915720" w:rsidTr="00915720">
        <w:trPr>
          <w:tblCellSpacing w:w="7" w:type="dxa"/>
        </w:trPr>
        <w:tc>
          <w:tcPr>
            <w:tcW w:w="0" w:type="auto"/>
            <w:shd w:val="clear" w:color="auto" w:fill="FFFFCC"/>
            <w:hideMark/>
          </w:tcPr>
          <w:p w:rsidR="00915720" w:rsidRPr="00915720" w:rsidRDefault="00915720" w:rsidP="00915720">
            <w:pPr>
              <w:spacing w:after="0" w:line="240" w:lineRule="auto"/>
              <w:rPr>
                <w:rFonts w:ascii="Arial Unicode MS" w:eastAsia="Arial Unicode MS" w:hAnsi="Arial Unicode MS" w:cs="Arial Unicode MS" w:hint="eastAsia"/>
                <w:sz w:val="24"/>
                <w:szCs w:val="24"/>
              </w:rPr>
            </w:pPr>
            <w:r w:rsidRPr="00915720">
              <w:rPr>
                <w:rFonts w:ascii="Arial Unicode MS" w:eastAsia="Arial Unicode MS" w:hAnsi="Arial Unicode MS" w:cs="Arial Unicode MS" w:hint="eastAsia"/>
                <w:sz w:val="24"/>
                <w:szCs w:val="24"/>
              </w:rPr>
              <w:t>identity</w:t>
            </w:r>
          </w:p>
        </w:tc>
        <w:tc>
          <w:tcPr>
            <w:tcW w:w="0" w:type="auto"/>
            <w:shd w:val="clear" w:color="auto" w:fill="FFFFCC"/>
            <w:hideMark/>
          </w:tcPr>
          <w:p w:rsidR="00915720" w:rsidRPr="00915720" w:rsidRDefault="00915720" w:rsidP="00915720">
            <w:pPr>
              <w:spacing w:after="0" w:line="240" w:lineRule="auto"/>
              <w:rPr>
                <w:rFonts w:ascii="Arial Unicode MS" w:eastAsia="Arial Unicode MS" w:hAnsi="Arial Unicode MS" w:cs="Arial Unicode MS" w:hint="eastAsia"/>
                <w:sz w:val="24"/>
                <w:szCs w:val="24"/>
              </w:rPr>
            </w:pPr>
            <w:r w:rsidRPr="00915720">
              <w:rPr>
                <w:rFonts w:ascii="Arial Unicode MS" w:eastAsia="Arial Unicode MS" w:hAnsi="Arial Unicode MS" w:cs="Arial Unicode MS" w:hint="eastAsia"/>
                <w:sz w:val="24"/>
                <w:szCs w:val="24"/>
              </w:rPr>
              <w:t>Defined by geography Gillian Rose as "how we make sense of ourselves;" how people see themselves at different scales.</w:t>
            </w:r>
          </w:p>
        </w:tc>
      </w:tr>
      <w:tr w:rsidR="00915720" w:rsidRPr="00915720" w:rsidTr="00915720">
        <w:trPr>
          <w:tblCellSpacing w:w="7" w:type="dxa"/>
        </w:trPr>
        <w:tc>
          <w:tcPr>
            <w:tcW w:w="0" w:type="auto"/>
            <w:shd w:val="clear" w:color="auto" w:fill="FFFF99"/>
            <w:hideMark/>
          </w:tcPr>
          <w:p w:rsidR="00915720" w:rsidRPr="00915720" w:rsidRDefault="00915720" w:rsidP="00915720">
            <w:pPr>
              <w:spacing w:after="0" w:line="240" w:lineRule="auto"/>
              <w:rPr>
                <w:rFonts w:ascii="Arial Unicode MS" w:eastAsia="Arial Unicode MS" w:hAnsi="Arial Unicode MS" w:cs="Arial Unicode MS" w:hint="eastAsia"/>
                <w:sz w:val="24"/>
                <w:szCs w:val="24"/>
              </w:rPr>
            </w:pPr>
            <w:r w:rsidRPr="00915720">
              <w:rPr>
                <w:rFonts w:ascii="Arial Unicode MS" w:eastAsia="Arial Unicode MS" w:hAnsi="Arial Unicode MS" w:cs="Arial Unicode MS" w:hint="eastAsia"/>
                <w:sz w:val="24"/>
                <w:szCs w:val="24"/>
              </w:rPr>
              <w:t>identifying against</w:t>
            </w:r>
          </w:p>
        </w:tc>
        <w:tc>
          <w:tcPr>
            <w:tcW w:w="0" w:type="auto"/>
            <w:shd w:val="clear" w:color="auto" w:fill="FFFF99"/>
            <w:hideMark/>
          </w:tcPr>
          <w:p w:rsidR="00915720" w:rsidRPr="00915720" w:rsidRDefault="00915720" w:rsidP="00915720">
            <w:pPr>
              <w:spacing w:after="0" w:line="240" w:lineRule="auto"/>
              <w:rPr>
                <w:rFonts w:ascii="Arial Unicode MS" w:eastAsia="Arial Unicode MS" w:hAnsi="Arial Unicode MS" w:cs="Arial Unicode MS" w:hint="eastAsia"/>
                <w:sz w:val="24"/>
                <w:szCs w:val="24"/>
              </w:rPr>
            </w:pPr>
            <w:r w:rsidRPr="00915720">
              <w:rPr>
                <w:rFonts w:ascii="Arial Unicode MS" w:eastAsia="Arial Unicode MS" w:hAnsi="Arial Unicode MS" w:cs="Arial Unicode MS" w:hint="eastAsia"/>
                <w:sz w:val="24"/>
                <w:szCs w:val="24"/>
              </w:rPr>
              <w:t>Constructing an identity by first def</w:t>
            </w:r>
            <w:r>
              <w:rPr>
                <w:rFonts w:ascii="Arial Unicode MS" w:eastAsia="Arial Unicode MS" w:hAnsi="Arial Unicode MS" w:cs="Arial Unicode MS"/>
                <w:sz w:val="24"/>
                <w:szCs w:val="24"/>
              </w:rPr>
              <w:t>i</w:t>
            </w:r>
            <w:r w:rsidRPr="00915720">
              <w:rPr>
                <w:rFonts w:ascii="Arial Unicode MS" w:eastAsia="Arial Unicode MS" w:hAnsi="Arial Unicode MS" w:cs="Arial Unicode MS" w:hint="eastAsia"/>
                <w:sz w:val="24"/>
                <w:szCs w:val="24"/>
              </w:rPr>
              <w:t>ning the "other" and then defining ourselves as "not the other"</w:t>
            </w:r>
          </w:p>
        </w:tc>
      </w:tr>
      <w:tr w:rsidR="00915720" w:rsidRPr="00915720" w:rsidTr="00915720">
        <w:trPr>
          <w:tblCellSpacing w:w="7" w:type="dxa"/>
        </w:trPr>
        <w:tc>
          <w:tcPr>
            <w:tcW w:w="0" w:type="auto"/>
            <w:shd w:val="clear" w:color="auto" w:fill="FFFFCC"/>
            <w:hideMark/>
          </w:tcPr>
          <w:p w:rsidR="00915720" w:rsidRPr="00915720" w:rsidRDefault="00915720" w:rsidP="00915720">
            <w:pPr>
              <w:spacing w:after="0" w:line="240" w:lineRule="auto"/>
              <w:rPr>
                <w:rFonts w:ascii="Arial Unicode MS" w:eastAsia="Arial Unicode MS" w:hAnsi="Arial Unicode MS" w:cs="Arial Unicode MS" w:hint="eastAsia"/>
                <w:sz w:val="24"/>
                <w:szCs w:val="24"/>
              </w:rPr>
            </w:pPr>
            <w:r w:rsidRPr="00915720">
              <w:rPr>
                <w:rFonts w:ascii="Arial Unicode MS" w:eastAsia="Arial Unicode MS" w:hAnsi="Arial Unicode MS" w:cs="Arial Unicode MS" w:hint="eastAsia"/>
                <w:sz w:val="24"/>
                <w:szCs w:val="24"/>
              </w:rPr>
              <w:t>race</w:t>
            </w:r>
          </w:p>
        </w:tc>
        <w:tc>
          <w:tcPr>
            <w:tcW w:w="0" w:type="auto"/>
            <w:shd w:val="clear" w:color="auto" w:fill="FFFFCC"/>
            <w:hideMark/>
          </w:tcPr>
          <w:p w:rsidR="00915720" w:rsidRPr="00915720" w:rsidRDefault="00915720" w:rsidP="00915720">
            <w:pPr>
              <w:spacing w:after="0" w:line="240" w:lineRule="auto"/>
              <w:rPr>
                <w:rFonts w:ascii="Arial Unicode MS" w:eastAsia="Arial Unicode MS" w:hAnsi="Arial Unicode MS" w:cs="Arial Unicode MS" w:hint="eastAsia"/>
                <w:sz w:val="24"/>
                <w:szCs w:val="24"/>
              </w:rPr>
            </w:pPr>
            <w:r w:rsidRPr="00915720">
              <w:rPr>
                <w:rFonts w:ascii="Arial Unicode MS" w:eastAsia="Arial Unicode MS" w:hAnsi="Arial Unicode MS" w:cs="Arial Unicode MS" w:hint="eastAsia"/>
                <w:sz w:val="24"/>
                <w:szCs w:val="24"/>
              </w:rPr>
              <w:t>Categorization of humans based on skin color &amp; physical characteristics. Categories are social and political construction based on ideas that some biological differences are more important than others. Closely associated with European colonialism.</w:t>
            </w:r>
          </w:p>
        </w:tc>
        <w:bookmarkStart w:id="0" w:name="_GoBack"/>
        <w:bookmarkEnd w:id="0"/>
      </w:tr>
      <w:tr w:rsidR="00915720" w:rsidRPr="00915720" w:rsidTr="00915720">
        <w:trPr>
          <w:tblCellSpacing w:w="7" w:type="dxa"/>
        </w:trPr>
        <w:tc>
          <w:tcPr>
            <w:tcW w:w="0" w:type="auto"/>
            <w:shd w:val="clear" w:color="auto" w:fill="FFFF99"/>
            <w:hideMark/>
          </w:tcPr>
          <w:p w:rsidR="00915720" w:rsidRPr="00915720" w:rsidRDefault="00915720" w:rsidP="00915720">
            <w:pPr>
              <w:spacing w:after="0" w:line="240" w:lineRule="auto"/>
              <w:rPr>
                <w:rFonts w:ascii="Arial Unicode MS" w:eastAsia="Arial Unicode MS" w:hAnsi="Arial Unicode MS" w:cs="Arial Unicode MS" w:hint="eastAsia"/>
                <w:sz w:val="24"/>
                <w:szCs w:val="24"/>
              </w:rPr>
            </w:pPr>
            <w:r w:rsidRPr="00915720">
              <w:rPr>
                <w:rFonts w:ascii="Arial Unicode MS" w:eastAsia="Arial Unicode MS" w:hAnsi="Arial Unicode MS" w:cs="Arial Unicode MS" w:hint="eastAsia"/>
                <w:sz w:val="24"/>
                <w:szCs w:val="24"/>
              </w:rPr>
              <w:t>racism</w:t>
            </w:r>
          </w:p>
        </w:tc>
        <w:tc>
          <w:tcPr>
            <w:tcW w:w="0" w:type="auto"/>
            <w:shd w:val="clear" w:color="auto" w:fill="FFFF99"/>
            <w:hideMark/>
          </w:tcPr>
          <w:p w:rsidR="00915720" w:rsidRPr="00915720" w:rsidRDefault="00915720" w:rsidP="00915720">
            <w:pPr>
              <w:spacing w:after="0" w:line="240" w:lineRule="auto"/>
              <w:rPr>
                <w:rFonts w:ascii="Arial Unicode MS" w:eastAsia="Arial Unicode MS" w:hAnsi="Arial Unicode MS" w:cs="Arial Unicode MS" w:hint="eastAsia"/>
                <w:sz w:val="24"/>
                <w:szCs w:val="24"/>
              </w:rPr>
            </w:pPr>
            <w:r w:rsidRPr="00915720">
              <w:rPr>
                <w:rFonts w:ascii="Arial Unicode MS" w:eastAsia="Arial Unicode MS" w:hAnsi="Arial Unicode MS" w:cs="Arial Unicode MS" w:hint="eastAsia"/>
                <w:sz w:val="24"/>
                <w:szCs w:val="24"/>
              </w:rPr>
              <w:t>system or attitude toward visible differences in individuals, an ideology of differences that ascribes (mostly negative) significance and meaning to culturally, socially, and politically constructed ideas based on certain features.</w:t>
            </w:r>
          </w:p>
        </w:tc>
      </w:tr>
      <w:tr w:rsidR="00915720" w:rsidRPr="00915720" w:rsidTr="00915720">
        <w:trPr>
          <w:tblCellSpacing w:w="7" w:type="dxa"/>
        </w:trPr>
        <w:tc>
          <w:tcPr>
            <w:tcW w:w="0" w:type="auto"/>
            <w:shd w:val="clear" w:color="auto" w:fill="FFFFCC"/>
            <w:hideMark/>
          </w:tcPr>
          <w:p w:rsidR="00915720" w:rsidRPr="00915720" w:rsidRDefault="00915720" w:rsidP="00915720">
            <w:pPr>
              <w:spacing w:after="0" w:line="240" w:lineRule="auto"/>
              <w:rPr>
                <w:rFonts w:ascii="Arial Unicode MS" w:eastAsia="Arial Unicode MS" w:hAnsi="Arial Unicode MS" w:cs="Arial Unicode MS" w:hint="eastAsia"/>
                <w:sz w:val="24"/>
                <w:szCs w:val="24"/>
              </w:rPr>
            </w:pPr>
            <w:r w:rsidRPr="00915720">
              <w:rPr>
                <w:rFonts w:ascii="Arial Unicode MS" w:eastAsia="Arial Unicode MS" w:hAnsi="Arial Unicode MS" w:cs="Arial Unicode MS" w:hint="eastAsia"/>
                <w:sz w:val="24"/>
                <w:szCs w:val="24"/>
              </w:rPr>
              <w:t>residential segregation</w:t>
            </w:r>
          </w:p>
        </w:tc>
        <w:tc>
          <w:tcPr>
            <w:tcW w:w="0" w:type="auto"/>
            <w:shd w:val="clear" w:color="auto" w:fill="FFFFCC"/>
            <w:hideMark/>
          </w:tcPr>
          <w:p w:rsidR="00915720" w:rsidRPr="00915720" w:rsidRDefault="00915720" w:rsidP="00915720">
            <w:pPr>
              <w:spacing w:after="0" w:line="240" w:lineRule="auto"/>
              <w:rPr>
                <w:rFonts w:ascii="Arial Unicode MS" w:eastAsia="Arial Unicode MS" w:hAnsi="Arial Unicode MS" w:cs="Arial Unicode MS" w:hint="eastAsia"/>
                <w:sz w:val="24"/>
                <w:szCs w:val="24"/>
              </w:rPr>
            </w:pPr>
            <w:r w:rsidRPr="00915720">
              <w:rPr>
                <w:rFonts w:ascii="Arial Unicode MS" w:eastAsia="Arial Unicode MS" w:hAnsi="Arial Unicode MS" w:cs="Arial Unicode MS" w:hint="eastAsia"/>
                <w:sz w:val="24"/>
                <w:szCs w:val="24"/>
              </w:rPr>
              <w:t>Defined by geographers Douglas Massey and Nancy Denton as the degree to which two or more groups live separately from one another, in different parts of an urban environment.</w:t>
            </w:r>
          </w:p>
        </w:tc>
      </w:tr>
      <w:tr w:rsidR="00915720" w:rsidRPr="00915720" w:rsidTr="00915720">
        <w:trPr>
          <w:tblCellSpacing w:w="7" w:type="dxa"/>
        </w:trPr>
        <w:tc>
          <w:tcPr>
            <w:tcW w:w="0" w:type="auto"/>
            <w:shd w:val="clear" w:color="auto" w:fill="FFFF99"/>
            <w:hideMark/>
          </w:tcPr>
          <w:p w:rsidR="00915720" w:rsidRPr="00915720" w:rsidRDefault="00915720" w:rsidP="00915720">
            <w:pPr>
              <w:spacing w:after="0" w:line="240" w:lineRule="auto"/>
              <w:rPr>
                <w:rFonts w:ascii="Arial Unicode MS" w:eastAsia="Arial Unicode MS" w:hAnsi="Arial Unicode MS" w:cs="Arial Unicode MS" w:hint="eastAsia"/>
                <w:sz w:val="24"/>
                <w:szCs w:val="24"/>
              </w:rPr>
            </w:pPr>
            <w:r w:rsidRPr="00915720">
              <w:rPr>
                <w:rFonts w:ascii="Arial Unicode MS" w:eastAsia="Arial Unicode MS" w:hAnsi="Arial Unicode MS" w:cs="Arial Unicode MS" w:hint="eastAsia"/>
                <w:sz w:val="24"/>
                <w:szCs w:val="24"/>
              </w:rPr>
              <w:t>gendered</w:t>
            </w:r>
          </w:p>
        </w:tc>
        <w:tc>
          <w:tcPr>
            <w:tcW w:w="0" w:type="auto"/>
            <w:shd w:val="clear" w:color="auto" w:fill="FFFF99"/>
            <w:hideMark/>
          </w:tcPr>
          <w:p w:rsidR="00915720" w:rsidRPr="00915720" w:rsidRDefault="00915720" w:rsidP="00915720">
            <w:pPr>
              <w:spacing w:after="0" w:line="240" w:lineRule="auto"/>
              <w:rPr>
                <w:rFonts w:ascii="Arial Unicode MS" w:eastAsia="Arial Unicode MS" w:hAnsi="Arial Unicode MS" w:cs="Arial Unicode MS" w:hint="eastAsia"/>
                <w:sz w:val="24"/>
                <w:szCs w:val="24"/>
              </w:rPr>
            </w:pPr>
            <w:r w:rsidRPr="00915720">
              <w:rPr>
                <w:rFonts w:ascii="Arial Unicode MS" w:eastAsia="Arial Unicode MS" w:hAnsi="Arial Unicode MS" w:cs="Arial Unicode MS" w:hint="eastAsia"/>
                <w:sz w:val="24"/>
                <w:szCs w:val="24"/>
              </w:rPr>
              <w:t>In terms of place, whether the place is designed for or claimed by men or women.</w:t>
            </w:r>
          </w:p>
        </w:tc>
      </w:tr>
      <w:tr w:rsidR="00915720" w:rsidRPr="00915720" w:rsidTr="00915720">
        <w:trPr>
          <w:tblCellSpacing w:w="7" w:type="dxa"/>
        </w:trPr>
        <w:tc>
          <w:tcPr>
            <w:tcW w:w="0" w:type="auto"/>
            <w:shd w:val="clear" w:color="auto" w:fill="FFFFCC"/>
            <w:hideMark/>
          </w:tcPr>
          <w:p w:rsidR="00915720" w:rsidRPr="00915720" w:rsidRDefault="00915720" w:rsidP="00915720">
            <w:pPr>
              <w:spacing w:after="0" w:line="240" w:lineRule="auto"/>
              <w:rPr>
                <w:rFonts w:ascii="Arial Unicode MS" w:eastAsia="Arial Unicode MS" w:hAnsi="Arial Unicode MS" w:cs="Arial Unicode MS" w:hint="eastAsia"/>
                <w:sz w:val="24"/>
                <w:szCs w:val="24"/>
              </w:rPr>
            </w:pPr>
            <w:r w:rsidRPr="00915720">
              <w:rPr>
                <w:rFonts w:ascii="Arial Unicode MS" w:eastAsia="Arial Unicode MS" w:hAnsi="Arial Unicode MS" w:cs="Arial Unicode MS" w:hint="eastAsia"/>
                <w:sz w:val="24"/>
                <w:szCs w:val="24"/>
              </w:rPr>
              <w:t>sense of place</w:t>
            </w:r>
          </w:p>
        </w:tc>
        <w:tc>
          <w:tcPr>
            <w:tcW w:w="0" w:type="auto"/>
            <w:shd w:val="clear" w:color="auto" w:fill="FFFFCC"/>
            <w:hideMark/>
          </w:tcPr>
          <w:p w:rsidR="00915720" w:rsidRPr="00915720" w:rsidRDefault="00915720" w:rsidP="00915720">
            <w:pPr>
              <w:spacing w:after="0" w:line="240" w:lineRule="auto"/>
              <w:rPr>
                <w:rFonts w:ascii="Arial Unicode MS" w:eastAsia="Arial Unicode MS" w:hAnsi="Arial Unicode MS" w:cs="Arial Unicode MS" w:hint="eastAsia"/>
                <w:sz w:val="24"/>
                <w:szCs w:val="24"/>
              </w:rPr>
            </w:pPr>
            <w:r w:rsidRPr="00915720">
              <w:rPr>
                <w:rFonts w:ascii="Arial Unicode MS" w:eastAsia="Arial Unicode MS" w:hAnsi="Arial Unicode MS" w:cs="Arial Unicode MS" w:hint="eastAsia"/>
                <w:sz w:val="24"/>
                <w:szCs w:val="24"/>
              </w:rPr>
              <w:t>State of mind derived through the infusion of a place with meaning and emotion by remembering important events that occurred in that place or by labeling a place with a certain character.</w:t>
            </w:r>
          </w:p>
        </w:tc>
      </w:tr>
      <w:tr w:rsidR="00915720" w:rsidRPr="00915720" w:rsidTr="00915720">
        <w:trPr>
          <w:tblCellSpacing w:w="7" w:type="dxa"/>
        </w:trPr>
        <w:tc>
          <w:tcPr>
            <w:tcW w:w="0" w:type="auto"/>
            <w:shd w:val="clear" w:color="auto" w:fill="FFFF99"/>
            <w:hideMark/>
          </w:tcPr>
          <w:p w:rsidR="00915720" w:rsidRPr="00915720" w:rsidRDefault="00915720" w:rsidP="00915720">
            <w:pPr>
              <w:spacing w:after="0" w:line="240" w:lineRule="auto"/>
              <w:rPr>
                <w:rFonts w:ascii="Arial Unicode MS" w:eastAsia="Arial Unicode MS" w:hAnsi="Arial Unicode MS" w:cs="Arial Unicode MS" w:hint="eastAsia"/>
                <w:sz w:val="24"/>
                <w:szCs w:val="24"/>
              </w:rPr>
            </w:pPr>
            <w:r w:rsidRPr="00915720">
              <w:rPr>
                <w:rFonts w:ascii="Arial Unicode MS" w:eastAsia="Arial Unicode MS" w:hAnsi="Arial Unicode MS" w:cs="Arial Unicode MS" w:hint="eastAsia"/>
                <w:sz w:val="24"/>
                <w:szCs w:val="24"/>
              </w:rPr>
              <w:t>ethnicity</w:t>
            </w:r>
          </w:p>
        </w:tc>
        <w:tc>
          <w:tcPr>
            <w:tcW w:w="0" w:type="auto"/>
            <w:shd w:val="clear" w:color="auto" w:fill="FFFF99"/>
            <w:hideMark/>
          </w:tcPr>
          <w:p w:rsidR="00915720" w:rsidRPr="00915720" w:rsidRDefault="00915720" w:rsidP="00915720">
            <w:pPr>
              <w:spacing w:after="0" w:line="240" w:lineRule="auto"/>
              <w:rPr>
                <w:rFonts w:ascii="Arial Unicode MS" w:eastAsia="Arial Unicode MS" w:hAnsi="Arial Unicode MS" w:cs="Arial Unicode MS" w:hint="eastAsia"/>
                <w:sz w:val="24"/>
                <w:szCs w:val="24"/>
              </w:rPr>
            </w:pPr>
            <w:r w:rsidRPr="00915720">
              <w:rPr>
                <w:rFonts w:ascii="Arial Unicode MS" w:eastAsia="Arial Unicode MS" w:hAnsi="Arial Unicode MS" w:cs="Arial Unicode MS" w:hint="eastAsia"/>
                <w:sz w:val="24"/>
                <w:szCs w:val="24"/>
              </w:rPr>
              <w:t>Affiliation or identity within a group of people bound by common ancestry and culture.</w:t>
            </w:r>
          </w:p>
        </w:tc>
      </w:tr>
      <w:tr w:rsidR="00915720" w:rsidRPr="00915720" w:rsidTr="00915720">
        <w:trPr>
          <w:tblCellSpacing w:w="7" w:type="dxa"/>
        </w:trPr>
        <w:tc>
          <w:tcPr>
            <w:tcW w:w="0" w:type="auto"/>
            <w:shd w:val="clear" w:color="auto" w:fill="FFFFCC"/>
            <w:hideMark/>
          </w:tcPr>
          <w:p w:rsidR="00915720" w:rsidRPr="00915720" w:rsidRDefault="00915720" w:rsidP="00915720">
            <w:pPr>
              <w:spacing w:after="0" w:line="240" w:lineRule="auto"/>
              <w:rPr>
                <w:rFonts w:ascii="Arial Unicode MS" w:eastAsia="Arial Unicode MS" w:hAnsi="Arial Unicode MS" w:cs="Arial Unicode MS" w:hint="eastAsia"/>
                <w:sz w:val="24"/>
                <w:szCs w:val="24"/>
              </w:rPr>
            </w:pPr>
            <w:r w:rsidRPr="00915720">
              <w:rPr>
                <w:rFonts w:ascii="Arial Unicode MS" w:eastAsia="Arial Unicode MS" w:hAnsi="Arial Unicode MS" w:cs="Arial Unicode MS" w:hint="eastAsia"/>
                <w:sz w:val="24"/>
                <w:szCs w:val="24"/>
              </w:rPr>
              <w:lastRenderedPageBreak/>
              <w:t>space</w:t>
            </w:r>
          </w:p>
        </w:tc>
        <w:tc>
          <w:tcPr>
            <w:tcW w:w="0" w:type="auto"/>
            <w:shd w:val="clear" w:color="auto" w:fill="FFFFCC"/>
            <w:hideMark/>
          </w:tcPr>
          <w:p w:rsidR="00915720" w:rsidRPr="00915720" w:rsidRDefault="00915720" w:rsidP="00915720">
            <w:pPr>
              <w:spacing w:after="0" w:line="240" w:lineRule="auto"/>
              <w:rPr>
                <w:rFonts w:ascii="Arial Unicode MS" w:eastAsia="Arial Unicode MS" w:hAnsi="Arial Unicode MS" w:cs="Arial Unicode MS" w:hint="eastAsia"/>
                <w:sz w:val="24"/>
                <w:szCs w:val="24"/>
              </w:rPr>
            </w:pPr>
            <w:r w:rsidRPr="00915720">
              <w:rPr>
                <w:rFonts w:ascii="Arial Unicode MS" w:eastAsia="Arial Unicode MS" w:hAnsi="Arial Unicode MS" w:cs="Arial Unicode MS" w:hint="eastAsia"/>
                <w:sz w:val="24"/>
                <w:szCs w:val="24"/>
              </w:rPr>
              <w:t>Defined by Doreen Massey and Pat Jess as "social relations stretched out"</w:t>
            </w:r>
          </w:p>
        </w:tc>
      </w:tr>
      <w:tr w:rsidR="00915720" w:rsidRPr="00915720" w:rsidTr="00915720">
        <w:trPr>
          <w:tblCellSpacing w:w="7" w:type="dxa"/>
        </w:trPr>
        <w:tc>
          <w:tcPr>
            <w:tcW w:w="0" w:type="auto"/>
            <w:shd w:val="clear" w:color="auto" w:fill="FFFF99"/>
            <w:hideMark/>
          </w:tcPr>
          <w:p w:rsidR="00915720" w:rsidRPr="00915720" w:rsidRDefault="00915720" w:rsidP="00915720">
            <w:pPr>
              <w:spacing w:after="0" w:line="240" w:lineRule="auto"/>
              <w:rPr>
                <w:rFonts w:ascii="Arial Unicode MS" w:eastAsia="Arial Unicode MS" w:hAnsi="Arial Unicode MS" w:cs="Arial Unicode MS" w:hint="eastAsia"/>
                <w:sz w:val="24"/>
                <w:szCs w:val="24"/>
              </w:rPr>
            </w:pPr>
            <w:r w:rsidRPr="00915720">
              <w:rPr>
                <w:rFonts w:ascii="Arial Unicode MS" w:eastAsia="Arial Unicode MS" w:hAnsi="Arial Unicode MS" w:cs="Arial Unicode MS" w:hint="eastAsia"/>
                <w:sz w:val="24"/>
                <w:szCs w:val="24"/>
              </w:rPr>
              <w:t>place</w:t>
            </w:r>
          </w:p>
        </w:tc>
        <w:tc>
          <w:tcPr>
            <w:tcW w:w="0" w:type="auto"/>
            <w:shd w:val="clear" w:color="auto" w:fill="FFFF99"/>
            <w:hideMark/>
          </w:tcPr>
          <w:p w:rsidR="00915720" w:rsidRPr="00915720" w:rsidRDefault="00915720" w:rsidP="00915720">
            <w:pPr>
              <w:spacing w:after="0" w:line="240" w:lineRule="auto"/>
              <w:rPr>
                <w:rFonts w:ascii="Arial Unicode MS" w:eastAsia="Arial Unicode MS" w:hAnsi="Arial Unicode MS" w:cs="Arial Unicode MS" w:hint="eastAsia"/>
                <w:sz w:val="24"/>
                <w:szCs w:val="24"/>
              </w:rPr>
            </w:pPr>
            <w:r w:rsidRPr="00915720">
              <w:rPr>
                <w:rFonts w:ascii="Arial Unicode MS" w:eastAsia="Arial Unicode MS" w:hAnsi="Arial Unicode MS" w:cs="Arial Unicode MS" w:hint="eastAsia"/>
                <w:sz w:val="24"/>
                <w:szCs w:val="24"/>
              </w:rPr>
              <w:t>Theme of geography; uniqueness of a location</w:t>
            </w:r>
          </w:p>
        </w:tc>
      </w:tr>
      <w:tr w:rsidR="00915720" w:rsidRPr="00915720" w:rsidTr="00915720">
        <w:trPr>
          <w:tblCellSpacing w:w="7" w:type="dxa"/>
        </w:trPr>
        <w:tc>
          <w:tcPr>
            <w:tcW w:w="0" w:type="auto"/>
            <w:shd w:val="clear" w:color="auto" w:fill="FFFFCC"/>
            <w:hideMark/>
          </w:tcPr>
          <w:p w:rsidR="00915720" w:rsidRPr="00915720" w:rsidRDefault="00915720" w:rsidP="00915720">
            <w:pPr>
              <w:spacing w:after="0" w:line="240" w:lineRule="auto"/>
              <w:rPr>
                <w:rFonts w:ascii="Arial Unicode MS" w:eastAsia="Arial Unicode MS" w:hAnsi="Arial Unicode MS" w:cs="Arial Unicode MS" w:hint="eastAsia"/>
                <w:sz w:val="24"/>
                <w:szCs w:val="24"/>
              </w:rPr>
            </w:pPr>
            <w:r w:rsidRPr="00915720">
              <w:rPr>
                <w:rFonts w:ascii="Arial Unicode MS" w:eastAsia="Arial Unicode MS" w:hAnsi="Arial Unicode MS" w:cs="Arial Unicode MS" w:hint="eastAsia"/>
                <w:sz w:val="24"/>
                <w:szCs w:val="24"/>
              </w:rPr>
              <w:t>queer theory</w:t>
            </w:r>
          </w:p>
        </w:tc>
        <w:tc>
          <w:tcPr>
            <w:tcW w:w="0" w:type="auto"/>
            <w:shd w:val="clear" w:color="auto" w:fill="FFFFCC"/>
            <w:hideMark/>
          </w:tcPr>
          <w:p w:rsidR="00915720" w:rsidRPr="00915720" w:rsidRDefault="00915720" w:rsidP="00915720">
            <w:pPr>
              <w:spacing w:after="0" w:line="240" w:lineRule="auto"/>
              <w:rPr>
                <w:rFonts w:ascii="Arial Unicode MS" w:eastAsia="Arial Unicode MS" w:hAnsi="Arial Unicode MS" w:cs="Arial Unicode MS" w:hint="eastAsia"/>
                <w:sz w:val="24"/>
                <w:szCs w:val="24"/>
              </w:rPr>
            </w:pPr>
            <w:r w:rsidRPr="00915720">
              <w:rPr>
                <w:rFonts w:ascii="Arial Unicode MS" w:eastAsia="Arial Unicode MS" w:hAnsi="Arial Unicode MS" w:cs="Arial Unicode MS" w:hint="eastAsia"/>
                <w:sz w:val="24"/>
                <w:szCs w:val="24"/>
              </w:rPr>
              <w:t xml:space="preserve">theory by geographers Elder, </w:t>
            </w:r>
            <w:proofErr w:type="spellStart"/>
            <w:r w:rsidRPr="00915720">
              <w:rPr>
                <w:rFonts w:ascii="Arial Unicode MS" w:eastAsia="Arial Unicode MS" w:hAnsi="Arial Unicode MS" w:cs="Arial Unicode MS" w:hint="eastAsia"/>
                <w:sz w:val="24"/>
                <w:szCs w:val="24"/>
              </w:rPr>
              <w:t>Knopp</w:t>
            </w:r>
            <w:proofErr w:type="spellEnd"/>
            <w:r w:rsidRPr="00915720">
              <w:rPr>
                <w:rFonts w:ascii="Arial Unicode MS" w:eastAsia="Arial Unicode MS" w:hAnsi="Arial Unicode MS" w:cs="Arial Unicode MS" w:hint="eastAsia"/>
                <w:sz w:val="24"/>
                <w:szCs w:val="24"/>
              </w:rPr>
              <w:t>, and Nast that highlights the contextual nature of opposition to the heteronormative (world that promotes heterosexuality) and focuses on the political engagement of "queers" with the heteronormative.</w:t>
            </w:r>
          </w:p>
        </w:tc>
      </w:tr>
      <w:tr w:rsidR="00915720" w:rsidRPr="00915720" w:rsidTr="00915720">
        <w:trPr>
          <w:tblCellSpacing w:w="7" w:type="dxa"/>
        </w:trPr>
        <w:tc>
          <w:tcPr>
            <w:tcW w:w="0" w:type="auto"/>
            <w:shd w:val="clear" w:color="auto" w:fill="FFFF99"/>
            <w:hideMark/>
          </w:tcPr>
          <w:p w:rsidR="00915720" w:rsidRPr="00915720" w:rsidRDefault="00915720" w:rsidP="00915720">
            <w:pPr>
              <w:spacing w:after="0" w:line="240" w:lineRule="auto"/>
              <w:rPr>
                <w:rFonts w:ascii="Arial Unicode MS" w:eastAsia="Arial Unicode MS" w:hAnsi="Arial Unicode MS" w:cs="Arial Unicode MS" w:hint="eastAsia"/>
                <w:sz w:val="24"/>
                <w:szCs w:val="24"/>
              </w:rPr>
            </w:pPr>
            <w:r w:rsidRPr="00915720">
              <w:rPr>
                <w:rFonts w:ascii="Arial Unicode MS" w:eastAsia="Arial Unicode MS" w:hAnsi="Arial Unicode MS" w:cs="Arial Unicode MS" w:hint="eastAsia"/>
                <w:sz w:val="24"/>
                <w:szCs w:val="24"/>
              </w:rPr>
              <w:t>dowry deaths</w:t>
            </w:r>
          </w:p>
        </w:tc>
        <w:tc>
          <w:tcPr>
            <w:tcW w:w="0" w:type="auto"/>
            <w:shd w:val="clear" w:color="auto" w:fill="FFFF99"/>
            <w:hideMark/>
          </w:tcPr>
          <w:p w:rsidR="00915720" w:rsidRPr="00915720" w:rsidRDefault="00915720" w:rsidP="00915720">
            <w:pPr>
              <w:spacing w:after="0" w:line="240" w:lineRule="auto"/>
              <w:rPr>
                <w:rFonts w:ascii="Arial Unicode MS" w:eastAsia="Arial Unicode MS" w:hAnsi="Arial Unicode MS" w:cs="Arial Unicode MS" w:hint="eastAsia"/>
                <w:sz w:val="24"/>
                <w:szCs w:val="24"/>
              </w:rPr>
            </w:pPr>
            <w:r w:rsidRPr="00915720">
              <w:rPr>
                <w:rFonts w:ascii="Arial Unicode MS" w:eastAsia="Arial Unicode MS" w:hAnsi="Arial Unicode MS" w:cs="Arial Unicode MS" w:hint="eastAsia"/>
                <w:sz w:val="24"/>
                <w:szCs w:val="24"/>
              </w:rPr>
              <w:t>arranged marriages in India, disputes over the price to be paid by the family of the bride to the father of the groom (the dowry) have, in some extreme cases, led to the death of the bride.</w:t>
            </w:r>
          </w:p>
        </w:tc>
      </w:tr>
      <w:tr w:rsidR="00915720" w:rsidRPr="00915720" w:rsidTr="00915720">
        <w:trPr>
          <w:tblCellSpacing w:w="7" w:type="dxa"/>
        </w:trPr>
        <w:tc>
          <w:tcPr>
            <w:tcW w:w="0" w:type="auto"/>
            <w:shd w:val="clear" w:color="auto" w:fill="FFFFCC"/>
            <w:hideMark/>
          </w:tcPr>
          <w:p w:rsidR="00915720" w:rsidRPr="00915720" w:rsidRDefault="00915720" w:rsidP="00915720">
            <w:pPr>
              <w:spacing w:after="0" w:line="240" w:lineRule="auto"/>
              <w:rPr>
                <w:rFonts w:ascii="Arial Unicode MS" w:eastAsia="Arial Unicode MS" w:hAnsi="Arial Unicode MS" w:cs="Arial Unicode MS" w:hint="eastAsia"/>
                <w:sz w:val="24"/>
                <w:szCs w:val="24"/>
              </w:rPr>
            </w:pPr>
            <w:proofErr w:type="spellStart"/>
            <w:r w:rsidRPr="00915720">
              <w:rPr>
                <w:rFonts w:ascii="Arial Unicode MS" w:eastAsia="Arial Unicode MS" w:hAnsi="Arial Unicode MS" w:cs="Arial Unicode MS" w:hint="eastAsia"/>
                <w:sz w:val="24"/>
                <w:szCs w:val="24"/>
              </w:rPr>
              <w:t>barrioization</w:t>
            </w:r>
            <w:proofErr w:type="spellEnd"/>
          </w:p>
        </w:tc>
        <w:tc>
          <w:tcPr>
            <w:tcW w:w="0" w:type="auto"/>
            <w:shd w:val="clear" w:color="auto" w:fill="FFFFCC"/>
            <w:hideMark/>
          </w:tcPr>
          <w:p w:rsidR="00915720" w:rsidRPr="00915720" w:rsidRDefault="00915720" w:rsidP="00915720">
            <w:pPr>
              <w:spacing w:after="0" w:line="240" w:lineRule="auto"/>
              <w:rPr>
                <w:rFonts w:ascii="Arial Unicode MS" w:eastAsia="Arial Unicode MS" w:hAnsi="Arial Unicode MS" w:cs="Arial Unicode MS" w:hint="eastAsia"/>
                <w:sz w:val="24"/>
                <w:szCs w:val="24"/>
              </w:rPr>
            </w:pPr>
            <w:r w:rsidRPr="00915720">
              <w:rPr>
                <w:rFonts w:ascii="Arial Unicode MS" w:eastAsia="Arial Unicode MS" w:hAnsi="Arial Unicode MS" w:cs="Arial Unicode MS" w:hint="eastAsia"/>
                <w:sz w:val="24"/>
                <w:szCs w:val="24"/>
              </w:rPr>
              <w:t>Defined by geographer James Curtis as the dramatic increase in Hispanic population in a given neighborhood; referring to barrio, the Spanish word for neighborhood.</w:t>
            </w:r>
          </w:p>
        </w:tc>
      </w:tr>
      <w:tr w:rsidR="00915720" w:rsidRPr="00915720" w:rsidTr="00915720">
        <w:trPr>
          <w:tblCellSpacing w:w="7" w:type="dxa"/>
        </w:trPr>
        <w:tc>
          <w:tcPr>
            <w:tcW w:w="0" w:type="auto"/>
            <w:shd w:val="clear" w:color="auto" w:fill="FFFF99"/>
            <w:hideMark/>
          </w:tcPr>
          <w:p w:rsidR="00915720" w:rsidRPr="00915720" w:rsidRDefault="00915720" w:rsidP="00915720">
            <w:pPr>
              <w:spacing w:after="0" w:line="240" w:lineRule="auto"/>
              <w:rPr>
                <w:rFonts w:ascii="Arial Unicode MS" w:eastAsia="Arial Unicode MS" w:hAnsi="Arial Unicode MS" w:cs="Arial Unicode MS" w:hint="eastAsia"/>
                <w:sz w:val="24"/>
                <w:szCs w:val="24"/>
              </w:rPr>
            </w:pPr>
            <w:r w:rsidRPr="00915720">
              <w:rPr>
                <w:rFonts w:ascii="Arial Unicode MS" w:eastAsia="Arial Unicode MS" w:hAnsi="Arial Unicode MS" w:cs="Arial Unicode MS" w:hint="eastAsia"/>
                <w:sz w:val="24"/>
                <w:szCs w:val="24"/>
              </w:rPr>
              <w:t>invasion and succession</w:t>
            </w:r>
          </w:p>
        </w:tc>
        <w:tc>
          <w:tcPr>
            <w:tcW w:w="0" w:type="auto"/>
            <w:shd w:val="clear" w:color="auto" w:fill="FFFF99"/>
            <w:hideMark/>
          </w:tcPr>
          <w:p w:rsidR="00915720" w:rsidRPr="00915720" w:rsidRDefault="00915720" w:rsidP="00915720">
            <w:pPr>
              <w:spacing w:after="0" w:line="240" w:lineRule="auto"/>
              <w:rPr>
                <w:rFonts w:ascii="Arial Unicode MS" w:eastAsia="Arial Unicode MS" w:hAnsi="Arial Unicode MS" w:cs="Arial Unicode MS" w:hint="eastAsia"/>
                <w:sz w:val="24"/>
                <w:szCs w:val="24"/>
              </w:rPr>
            </w:pPr>
            <w:r w:rsidRPr="00915720">
              <w:rPr>
                <w:rFonts w:ascii="Arial Unicode MS" w:eastAsia="Arial Unicode MS" w:hAnsi="Arial Unicode MS" w:cs="Arial Unicode MS" w:hint="eastAsia"/>
                <w:sz w:val="24"/>
                <w:szCs w:val="24"/>
              </w:rPr>
              <w:t>Process by which new immigrants to a city move to and dominate or take over areas or neighborhoods occupied by older immigrant groups.</w:t>
            </w:r>
          </w:p>
        </w:tc>
      </w:tr>
    </w:tbl>
    <w:p w:rsidR="003C1CC6" w:rsidRDefault="003C1CC6"/>
    <w:sectPr w:rsidR="003C1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20"/>
    <w:rsid w:val="003C1CC6"/>
    <w:rsid w:val="007C6640"/>
    <w:rsid w:val="0091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CE5A"/>
  <w15:chartTrackingRefBased/>
  <w15:docId w15:val="{69603A46-D192-4186-8247-81D8151C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11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A. Newell</dc:creator>
  <cp:keywords/>
  <dc:description/>
  <cp:lastModifiedBy>Tiffany A. Newell</cp:lastModifiedBy>
  <cp:revision>1</cp:revision>
  <dcterms:created xsi:type="dcterms:W3CDTF">2016-12-28T22:25:00Z</dcterms:created>
  <dcterms:modified xsi:type="dcterms:W3CDTF">2016-12-28T22:40:00Z</dcterms:modified>
</cp:coreProperties>
</file>